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97" w:rsidRDefault="00BC1858">
      <w:pPr>
        <w:spacing w:after="180"/>
        <w:jc w:val="center"/>
        <w:rPr>
          <w:rFonts w:ascii="標楷體" w:eastAsia="標楷體" w:hAnsi="標楷體"/>
          <w:b/>
          <w:bCs/>
          <w:sz w:val="40"/>
          <w:szCs w:val="40"/>
        </w:rPr>
      </w:pPr>
      <w:bookmarkStart w:id="0" w:name="_GoBack"/>
      <w:r>
        <w:rPr>
          <w:rFonts w:ascii="標楷體" w:eastAsia="標楷體" w:hAnsi="標楷體"/>
          <w:b/>
          <w:bCs/>
          <w:sz w:val="40"/>
          <w:szCs w:val="40"/>
        </w:rPr>
        <w:t>個人資料保護法施行細則部分條文修正條文</w:t>
      </w:r>
      <w:bookmarkEnd w:id="0"/>
    </w:p>
    <w:p w:rsidR="000E7E97" w:rsidRDefault="00BC1858">
      <w:pPr>
        <w:spacing w:line="460" w:lineRule="exact"/>
        <w:ind w:left="848" w:hanging="848"/>
        <w:rPr>
          <w:rFonts w:ascii="標楷體" w:eastAsia="標楷體" w:hAnsi="標楷體"/>
          <w:sz w:val="28"/>
          <w:szCs w:val="28"/>
        </w:rPr>
      </w:pPr>
      <w:r>
        <w:rPr>
          <w:rFonts w:ascii="標楷體" w:eastAsia="標楷體" w:hAnsi="標楷體"/>
          <w:sz w:val="28"/>
          <w:szCs w:val="28"/>
        </w:rPr>
        <w:t>第九條    本法第六條第一項但書第一款、第八條第二項第一款、第十六條但書第一款、第十九條第一項第一款、第二十條第一項但書第一款所稱法律，指法律或法律具體明確授權之法規命令。</w:t>
      </w:r>
    </w:p>
    <w:p w:rsidR="000E7E97" w:rsidRDefault="00BC1858">
      <w:pPr>
        <w:spacing w:line="460" w:lineRule="exact"/>
        <w:ind w:left="848" w:hanging="848"/>
        <w:rPr>
          <w:rFonts w:ascii="標楷體" w:eastAsia="標楷體" w:hAnsi="標楷體"/>
          <w:sz w:val="28"/>
          <w:szCs w:val="28"/>
        </w:rPr>
      </w:pPr>
      <w:r>
        <w:rPr>
          <w:rFonts w:ascii="標楷體" w:eastAsia="標楷體" w:hAnsi="標楷體"/>
          <w:sz w:val="28"/>
          <w:szCs w:val="28"/>
        </w:rPr>
        <w:t>第十條    本法第六條第一項但書第二款及第五款、第八條第二項第二款及第三款、第十條但書第二款、第十五條第一款、第十六條所稱法定職務，指於下列法規中所定公務機關之職務：</w:t>
      </w:r>
    </w:p>
    <w:p w:rsidR="000E7E97" w:rsidRDefault="00BC1858">
      <w:pPr>
        <w:spacing w:line="460" w:lineRule="exact"/>
        <w:ind w:left="1416"/>
        <w:rPr>
          <w:rFonts w:ascii="標楷體" w:eastAsia="標楷體" w:hAnsi="標楷體"/>
          <w:sz w:val="28"/>
          <w:szCs w:val="28"/>
        </w:rPr>
      </w:pPr>
      <w:r>
        <w:rPr>
          <w:rFonts w:ascii="標楷體" w:eastAsia="標楷體" w:hAnsi="標楷體"/>
          <w:sz w:val="28"/>
          <w:szCs w:val="28"/>
        </w:rPr>
        <w:t>一、法律、法律授權之命令。</w:t>
      </w:r>
    </w:p>
    <w:p w:rsidR="000E7E97" w:rsidRDefault="00BC1858">
      <w:pPr>
        <w:spacing w:line="460" w:lineRule="exact"/>
        <w:ind w:left="1416"/>
        <w:rPr>
          <w:rFonts w:ascii="標楷體" w:eastAsia="標楷體" w:hAnsi="標楷體"/>
          <w:sz w:val="28"/>
          <w:szCs w:val="28"/>
        </w:rPr>
      </w:pPr>
      <w:r>
        <w:rPr>
          <w:rFonts w:ascii="標楷體" w:eastAsia="標楷體" w:hAnsi="標楷體"/>
          <w:sz w:val="28"/>
          <w:szCs w:val="28"/>
        </w:rPr>
        <w:t>二、自治條例。</w:t>
      </w:r>
    </w:p>
    <w:p w:rsidR="000E7E97" w:rsidRDefault="00BC1858">
      <w:pPr>
        <w:spacing w:line="460" w:lineRule="exact"/>
        <w:ind w:left="1416"/>
        <w:rPr>
          <w:rFonts w:ascii="標楷體" w:eastAsia="標楷體" w:hAnsi="標楷體"/>
          <w:sz w:val="28"/>
          <w:szCs w:val="28"/>
        </w:rPr>
      </w:pPr>
      <w:r>
        <w:rPr>
          <w:rFonts w:ascii="標楷體" w:eastAsia="標楷體" w:hAnsi="標楷體"/>
          <w:sz w:val="28"/>
          <w:szCs w:val="28"/>
        </w:rPr>
        <w:t>三、法律或自治條例授權之自治規則。</w:t>
      </w:r>
    </w:p>
    <w:p w:rsidR="000E7E97" w:rsidRDefault="00BC1858">
      <w:pPr>
        <w:spacing w:line="460" w:lineRule="exact"/>
        <w:ind w:left="1416"/>
        <w:rPr>
          <w:rFonts w:ascii="標楷體" w:eastAsia="標楷體" w:hAnsi="標楷體"/>
          <w:sz w:val="28"/>
          <w:szCs w:val="28"/>
        </w:rPr>
      </w:pPr>
      <w:r>
        <w:rPr>
          <w:rFonts w:ascii="標楷體" w:eastAsia="標楷體" w:hAnsi="標楷體"/>
          <w:sz w:val="28"/>
          <w:szCs w:val="28"/>
        </w:rPr>
        <w:t>四、法律或中央法規授權之委辦規則。</w:t>
      </w:r>
    </w:p>
    <w:p w:rsidR="000E7E97" w:rsidRDefault="00BC1858">
      <w:pPr>
        <w:spacing w:line="460" w:lineRule="exact"/>
        <w:ind w:left="1134" w:hanging="1134"/>
        <w:rPr>
          <w:rFonts w:ascii="標楷體" w:eastAsia="標楷體" w:hAnsi="標楷體"/>
          <w:sz w:val="28"/>
          <w:szCs w:val="28"/>
        </w:rPr>
      </w:pPr>
      <w:r>
        <w:rPr>
          <w:rFonts w:ascii="標楷體" w:eastAsia="標楷體" w:hAnsi="標楷體"/>
          <w:sz w:val="28"/>
          <w:szCs w:val="28"/>
        </w:rPr>
        <w:t>第十一條    本法第六條第一項但書第二款及第五款、第八條第二項第二款所稱法定義務，指非公務機關依法律或法律具體明確授權之法規命令所定之義務。</w:t>
      </w:r>
    </w:p>
    <w:p w:rsidR="000E7E97" w:rsidRDefault="00BC1858">
      <w:pPr>
        <w:spacing w:line="460" w:lineRule="exact"/>
        <w:ind w:left="1134" w:hanging="1134"/>
        <w:rPr>
          <w:rFonts w:ascii="標楷體" w:eastAsia="標楷體" w:hAnsi="標楷體"/>
          <w:sz w:val="28"/>
          <w:szCs w:val="28"/>
        </w:rPr>
      </w:pPr>
      <w:r>
        <w:rPr>
          <w:rFonts w:ascii="標楷體" w:eastAsia="標楷體" w:hAnsi="標楷體"/>
          <w:sz w:val="28"/>
          <w:szCs w:val="28"/>
        </w:rPr>
        <w:t>第十二條    本法第六條第一項但書第二款及第五款所稱適當安全維護措施、第十八條所稱安全維護事項、第十九條第一項第二款及第二十七條第一項所稱適當之安全措施，指公務機關或非公務機關為防止個人資料被竊取、竄改、毀損、滅失或洩漏，採取技術上及組織上之措施。</w:t>
      </w:r>
    </w:p>
    <w:p w:rsidR="000E7E97" w:rsidRDefault="00BC1858">
      <w:pPr>
        <w:spacing w:line="460" w:lineRule="exact"/>
        <w:ind w:left="1133" w:firstLine="566"/>
        <w:rPr>
          <w:rFonts w:ascii="標楷體" w:eastAsia="標楷體" w:hAnsi="標楷體"/>
          <w:sz w:val="28"/>
          <w:szCs w:val="28"/>
        </w:rPr>
      </w:pPr>
      <w:r>
        <w:rPr>
          <w:rFonts w:ascii="標楷體" w:eastAsia="標楷體" w:hAnsi="標楷體"/>
          <w:sz w:val="28"/>
          <w:szCs w:val="28"/>
        </w:rPr>
        <w:t>前項措施，得包括下列事項，並以與所欲達成之個人資料保護目的間，具有適當比例為原則：</w:t>
      </w:r>
    </w:p>
    <w:p w:rsidR="000E7E97" w:rsidRDefault="00BC1858">
      <w:pPr>
        <w:spacing w:line="460" w:lineRule="exact"/>
        <w:ind w:left="1133" w:firstLine="566"/>
        <w:rPr>
          <w:rFonts w:ascii="標楷體" w:eastAsia="標楷體" w:hAnsi="標楷體"/>
          <w:sz w:val="28"/>
          <w:szCs w:val="28"/>
        </w:rPr>
      </w:pPr>
      <w:r>
        <w:rPr>
          <w:rFonts w:ascii="標楷體" w:eastAsia="標楷體" w:hAnsi="標楷體"/>
          <w:sz w:val="28"/>
          <w:szCs w:val="28"/>
        </w:rPr>
        <w:t>一、配置管理之人員及相當資源。</w:t>
      </w:r>
    </w:p>
    <w:p w:rsidR="000E7E97" w:rsidRDefault="00BC1858">
      <w:pPr>
        <w:spacing w:line="460" w:lineRule="exact"/>
        <w:ind w:left="1133" w:firstLine="566"/>
        <w:rPr>
          <w:rFonts w:ascii="標楷體" w:eastAsia="標楷體" w:hAnsi="標楷體"/>
          <w:sz w:val="28"/>
          <w:szCs w:val="28"/>
        </w:rPr>
      </w:pPr>
      <w:r>
        <w:rPr>
          <w:rFonts w:ascii="標楷體" w:eastAsia="標楷體" w:hAnsi="標楷體"/>
          <w:sz w:val="28"/>
          <w:szCs w:val="28"/>
        </w:rPr>
        <w:t>二、界定個人資料之範圍。</w:t>
      </w:r>
    </w:p>
    <w:p w:rsidR="000E7E97" w:rsidRDefault="00BC1858">
      <w:pPr>
        <w:spacing w:line="460" w:lineRule="exact"/>
        <w:ind w:left="1133" w:firstLine="566"/>
        <w:rPr>
          <w:rFonts w:ascii="標楷體" w:eastAsia="標楷體" w:hAnsi="標楷體"/>
          <w:sz w:val="28"/>
          <w:szCs w:val="28"/>
        </w:rPr>
      </w:pPr>
      <w:r>
        <w:rPr>
          <w:rFonts w:ascii="標楷體" w:eastAsia="標楷體" w:hAnsi="標楷體"/>
          <w:sz w:val="28"/>
          <w:szCs w:val="28"/>
        </w:rPr>
        <w:t>三、個人資料之風險評估及管理機制。</w:t>
      </w:r>
    </w:p>
    <w:p w:rsidR="000E7E97" w:rsidRDefault="00BC1858">
      <w:pPr>
        <w:spacing w:line="460" w:lineRule="exact"/>
        <w:ind w:left="1133" w:firstLine="566"/>
        <w:rPr>
          <w:rFonts w:ascii="標楷體" w:eastAsia="標楷體" w:hAnsi="標楷體"/>
          <w:sz w:val="28"/>
          <w:szCs w:val="28"/>
        </w:rPr>
      </w:pPr>
      <w:r>
        <w:rPr>
          <w:rFonts w:ascii="標楷體" w:eastAsia="標楷體" w:hAnsi="標楷體"/>
          <w:sz w:val="28"/>
          <w:szCs w:val="28"/>
        </w:rPr>
        <w:t>四、事故之預防、通報及應變機制。</w:t>
      </w:r>
    </w:p>
    <w:p w:rsidR="000E7E97" w:rsidRDefault="00BC1858">
      <w:pPr>
        <w:spacing w:line="460" w:lineRule="exact"/>
        <w:ind w:left="1133" w:firstLine="566"/>
        <w:rPr>
          <w:rFonts w:ascii="標楷體" w:eastAsia="標楷體" w:hAnsi="標楷體"/>
          <w:sz w:val="28"/>
          <w:szCs w:val="28"/>
        </w:rPr>
      </w:pPr>
      <w:r>
        <w:rPr>
          <w:rFonts w:ascii="標楷體" w:eastAsia="標楷體" w:hAnsi="標楷體"/>
          <w:sz w:val="28"/>
          <w:szCs w:val="28"/>
        </w:rPr>
        <w:t>五、個人資料蒐集、處理及利用之內部管理程序。</w:t>
      </w:r>
    </w:p>
    <w:p w:rsidR="000E7E97" w:rsidRDefault="00BC1858">
      <w:pPr>
        <w:spacing w:line="460" w:lineRule="exact"/>
        <w:ind w:left="1133" w:firstLine="566"/>
        <w:rPr>
          <w:rFonts w:ascii="標楷體" w:eastAsia="標楷體" w:hAnsi="標楷體"/>
          <w:sz w:val="28"/>
          <w:szCs w:val="28"/>
        </w:rPr>
      </w:pPr>
      <w:r>
        <w:rPr>
          <w:rFonts w:ascii="標楷體" w:eastAsia="標楷體" w:hAnsi="標楷體"/>
          <w:sz w:val="28"/>
          <w:szCs w:val="28"/>
        </w:rPr>
        <w:t>六、資料安全管理及人員管理。</w:t>
      </w:r>
    </w:p>
    <w:p w:rsidR="000E7E97" w:rsidRDefault="00BC1858">
      <w:pPr>
        <w:spacing w:line="460" w:lineRule="exact"/>
        <w:ind w:left="1133" w:firstLine="566"/>
        <w:rPr>
          <w:rFonts w:ascii="標楷體" w:eastAsia="標楷體" w:hAnsi="標楷體"/>
          <w:sz w:val="28"/>
          <w:szCs w:val="28"/>
        </w:rPr>
      </w:pPr>
      <w:r>
        <w:rPr>
          <w:rFonts w:ascii="標楷體" w:eastAsia="標楷體" w:hAnsi="標楷體"/>
          <w:sz w:val="28"/>
          <w:szCs w:val="28"/>
        </w:rPr>
        <w:t>七、認知宣導及教育訓練。</w:t>
      </w:r>
    </w:p>
    <w:p w:rsidR="000E7E97" w:rsidRDefault="00BC1858">
      <w:pPr>
        <w:spacing w:line="460" w:lineRule="exact"/>
        <w:ind w:left="1133" w:firstLine="566"/>
        <w:rPr>
          <w:rFonts w:ascii="標楷體" w:eastAsia="標楷體" w:hAnsi="標楷體"/>
          <w:sz w:val="28"/>
          <w:szCs w:val="28"/>
        </w:rPr>
      </w:pPr>
      <w:r>
        <w:rPr>
          <w:rFonts w:ascii="標楷體" w:eastAsia="標楷體" w:hAnsi="標楷體"/>
          <w:sz w:val="28"/>
          <w:szCs w:val="28"/>
        </w:rPr>
        <w:lastRenderedPageBreak/>
        <w:t>八、設備安全管理。</w:t>
      </w:r>
    </w:p>
    <w:p w:rsidR="000E7E97" w:rsidRDefault="00BC1858">
      <w:pPr>
        <w:spacing w:line="460" w:lineRule="exact"/>
        <w:ind w:left="1133" w:firstLine="566"/>
        <w:rPr>
          <w:rFonts w:ascii="標楷體" w:eastAsia="標楷體" w:hAnsi="標楷體"/>
          <w:sz w:val="28"/>
          <w:szCs w:val="28"/>
        </w:rPr>
      </w:pPr>
      <w:r>
        <w:rPr>
          <w:rFonts w:ascii="標楷體" w:eastAsia="標楷體" w:hAnsi="標楷體"/>
          <w:sz w:val="28"/>
          <w:szCs w:val="28"/>
        </w:rPr>
        <w:t>九、資料安全稽核機制。</w:t>
      </w:r>
    </w:p>
    <w:p w:rsidR="000E7E97" w:rsidRDefault="00BC1858">
      <w:pPr>
        <w:spacing w:line="460" w:lineRule="exact"/>
        <w:ind w:left="1133" w:firstLine="566"/>
        <w:rPr>
          <w:rFonts w:ascii="標楷體" w:eastAsia="標楷體" w:hAnsi="標楷體"/>
          <w:sz w:val="28"/>
          <w:szCs w:val="28"/>
        </w:rPr>
      </w:pPr>
      <w:r>
        <w:rPr>
          <w:rFonts w:ascii="標楷體" w:eastAsia="標楷體" w:hAnsi="標楷體"/>
          <w:sz w:val="28"/>
          <w:szCs w:val="28"/>
        </w:rPr>
        <w:t>十、使用紀錄、軌跡資料及證據保存。</w:t>
      </w:r>
    </w:p>
    <w:p w:rsidR="000E7E97" w:rsidRDefault="00BC1858">
      <w:pPr>
        <w:spacing w:line="460" w:lineRule="exact"/>
        <w:ind w:left="1133" w:firstLine="566"/>
        <w:rPr>
          <w:rFonts w:ascii="標楷體" w:eastAsia="標楷體" w:hAnsi="標楷體"/>
          <w:sz w:val="28"/>
          <w:szCs w:val="28"/>
        </w:rPr>
      </w:pPr>
      <w:r>
        <w:rPr>
          <w:rFonts w:ascii="標楷體" w:eastAsia="標楷體" w:hAnsi="標楷體"/>
          <w:sz w:val="28"/>
          <w:szCs w:val="28"/>
        </w:rPr>
        <w:t>十一、個人資料安全維護之整體持續改善。</w:t>
      </w:r>
    </w:p>
    <w:p w:rsidR="000E7E97" w:rsidRDefault="00BC1858">
      <w:pPr>
        <w:spacing w:line="460" w:lineRule="exact"/>
        <w:ind w:left="1134" w:hanging="1134"/>
        <w:rPr>
          <w:rFonts w:ascii="標楷體" w:eastAsia="標楷體" w:hAnsi="標楷體"/>
          <w:sz w:val="28"/>
          <w:szCs w:val="28"/>
        </w:rPr>
      </w:pPr>
      <w:r>
        <w:rPr>
          <w:rFonts w:ascii="標楷體" w:eastAsia="標楷體" w:hAnsi="標楷體"/>
          <w:sz w:val="28"/>
          <w:szCs w:val="28"/>
        </w:rPr>
        <w:t>第十三條    本法第六條第一項但書第三款、第九條第二項第二款、第十九條第一項第三款所稱當事人自行公開之個人資料，指當事人自行對不特定人或特定多數人揭露其個人資料。</w:t>
      </w:r>
    </w:p>
    <w:p w:rsidR="000E7E97" w:rsidRDefault="00BC1858">
      <w:pPr>
        <w:spacing w:line="460" w:lineRule="exact"/>
        <w:ind w:left="1133" w:firstLine="566"/>
        <w:rPr>
          <w:rFonts w:ascii="標楷體" w:eastAsia="標楷體" w:hAnsi="標楷體"/>
          <w:sz w:val="28"/>
          <w:szCs w:val="28"/>
        </w:rPr>
      </w:pPr>
      <w:r>
        <w:rPr>
          <w:rFonts w:ascii="標楷體" w:eastAsia="標楷體" w:hAnsi="標楷體"/>
          <w:sz w:val="28"/>
          <w:szCs w:val="28"/>
        </w:rPr>
        <w:t>本法第六條第一項但書第三款、第九條第二項第二款、第十九條第一項第三款所稱已合法公開之個人資料，指依法律或法律具體明確授權之法規命令所公示、公告或以其他合法方式公開之個人資料。</w:t>
      </w:r>
    </w:p>
    <w:p w:rsidR="000E7E97" w:rsidRDefault="00BC1858">
      <w:pPr>
        <w:spacing w:line="460" w:lineRule="exact"/>
        <w:ind w:left="1134" w:hanging="1134"/>
        <w:rPr>
          <w:rFonts w:ascii="標楷體" w:eastAsia="標楷體" w:hAnsi="標楷體"/>
          <w:sz w:val="28"/>
          <w:szCs w:val="28"/>
        </w:rPr>
      </w:pPr>
      <w:r>
        <w:rPr>
          <w:rFonts w:ascii="標楷體" w:eastAsia="標楷體" w:hAnsi="標楷體"/>
          <w:sz w:val="28"/>
          <w:szCs w:val="28"/>
        </w:rPr>
        <w:t>第十四條    本法第六條第一項但書第六款、第十一條第二項及第三項但書所定當事人書面同意之方式，依電子簽章法之規定，得以電子文件為之。</w:t>
      </w:r>
    </w:p>
    <w:p w:rsidR="000E7E97" w:rsidRDefault="00BC1858">
      <w:pPr>
        <w:spacing w:line="460" w:lineRule="exact"/>
        <w:ind w:left="1134" w:hanging="1134"/>
        <w:rPr>
          <w:rFonts w:ascii="標楷體" w:eastAsia="標楷體" w:hAnsi="標楷體"/>
          <w:sz w:val="28"/>
          <w:szCs w:val="28"/>
        </w:rPr>
      </w:pPr>
      <w:r>
        <w:rPr>
          <w:rFonts w:ascii="標楷體" w:eastAsia="標楷體" w:hAnsi="標楷體"/>
          <w:sz w:val="28"/>
          <w:szCs w:val="28"/>
        </w:rPr>
        <w:t>第十五條    本法第七條第二項所定單獨所為之意思表示，如係與其他意思表示於同一書面為之者，蒐集者應於適當位置使當事人得以知悉其內容並確認同意。</w:t>
      </w:r>
    </w:p>
    <w:p w:rsidR="000E7E97" w:rsidRDefault="00BC1858">
      <w:pPr>
        <w:spacing w:line="460" w:lineRule="exact"/>
        <w:ind w:left="1134" w:hanging="1134"/>
        <w:rPr>
          <w:rFonts w:ascii="標楷體" w:eastAsia="標楷體" w:hAnsi="標楷體"/>
          <w:sz w:val="28"/>
          <w:szCs w:val="28"/>
        </w:rPr>
      </w:pPr>
      <w:r>
        <w:rPr>
          <w:rFonts w:ascii="標楷體" w:eastAsia="標楷體" w:hAnsi="標楷體"/>
          <w:sz w:val="28"/>
          <w:szCs w:val="28"/>
        </w:rPr>
        <w:t>第十七條    本法第六條第一項但書第四款、第九條第二項第四款、第十六條但書第五款、第十九條第一項第四款及第二十條第一項但書第五款所稱無從識別特定當事人，指個人資料以代碼、匿名、隱藏部分資料或其他方式，無從辨識該特定個人者。</w:t>
      </w:r>
    </w:p>
    <w:p w:rsidR="000E7E97" w:rsidRDefault="00BC1858">
      <w:pPr>
        <w:spacing w:line="460" w:lineRule="exact"/>
        <w:ind w:left="1134" w:hanging="1134"/>
        <w:rPr>
          <w:rFonts w:ascii="標楷體" w:eastAsia="標楷體" w:hAnsi="標楷體"/>
          <w:sz w:val="28"/>
          <w:szCs w:val="28"/>
        </w:rPr>
      </w:pPr>
      <w:r>
        <w:rPr>
          <w:rFonts w:ascii="標楷體" w:eastAsia="標楷體" w:hAnsi="標楷體"/>
          <w:sz w:val="28"/>
          <w:szCs w:val="28"/>
        </w:rPr>
        <w:t>第十八條    本法第十條但書第三款所稱妨害第三人之重大利益，指有害於第三人個人之生命、身體、自由、財產或其他重大利益。</w:t>
      </w:r>
    </w:p>
    <w:p w:rsidR="000E7E97" w:rsidRDefault="000E7E97">
      <w:pPr>
        <w:spacing w:line="460" w:lineRule="exact"/>
        <w:ind w:left="1134" w:hanging="1134"/>
        <w:rPr>
          <w:rFonts w:ascii="標楷體" w:eastAsia="標楷體" w:hAnsi="標楷體"/>
          <w:sz w:val="28"/>
          <w:szCs w:val="28"/>
        </w:rPr>
      </w:pPr>
    </w:p>
    <w:p w:rsidR="000E7E97" w:rsidRDefault="000E7E97">
      <w:pPr>
        <w:spacing w:after="180" w:line="460" w:lineRule="exact"/>
        <w:rPr>
          <w:rFonts w:ascii="標楷體" w:eastAsia="標楷體" w:hAnsi="標楷體"/>
          <w:sz w:val="28"/>
          <w:szCs w:val="28"/>
        </w:rPr>
      </w:pPr>
    </w:p>
    <w:sectPr w:rsidR="000E7E97">
      <w:footerReference w:type="default" r:id="rId7"/>
      <w:pgSz w:w="11906" w:h="16838"/>
      <w:pgMar w:top="1440" w:right="1800" w:bottom="1440" w:left="1800"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95" w:rsidRDefault="00E57195">
      <w:r>
        <w:separator/>
      </w:r>
    </w:p>
  </w:endnote>
  <w:endnote w:type="continuationSeparator" w:id="0">
    <w:p w:rsidR="00E57195" w:rsidRDefault="00E5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54" w:rsidRDefault="00BC1858">
    <w:pPr>
      <w:pStyle w:val="a5"/>
      <w:jc w:val="center"/>
    </w:pPr>
    <w:r>
      <w:rPr>
        <w:lang w:val="zh-TW"/>
      </w:rPr>
      <w:fldChar w:fldCharType="begin"/>
    </w:r>
    <w:r>
      <w:rPr>
        <w:lang w:val="zh-TW"/>
      </w:rPr>
      <w:instrText xml:space="preserve"> PAGE </w:instrText>
    </w:r>
    <w:r>
      <w:rPr>
        <w:lang w:val="zh-TW"/>
      </w:rPr>
      <w:fldChar w:fldCharType="separate"/>
    </w:r>
    <w:r w:rsidR="00CF6B01">
      <w:rPr>
        <w:noProof/>
        <w:lang w:val="zh-TW"/>
      </w:rPr>
      <w:t>1</w:t>
    </w:r>
    <w:r>
      <w:rPr>
        <w:lang w:val="zh-TW"/>
      </w:rPr>
      <w:fldChar w:fldCharType="end"/>
    </w:r>
  </w:p>
  <w:p w:rsidR="00517E54" w:rsidRDefault="00E571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95" w:rsidRDefault="00E57195">
      <w:r>
        <w:rPr>
          <w:color w:val="000000"/>
        </w:rPr>
        <w:separator/>
      </w:r>
    </w:p>
  </w:footnote>
  <w:footnote w:type="continuationSeparator" w:id="0">
    <w:p w:rsidR="00E57195" w:rsidRDefault="00E57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E7E97"/>
    <w:rsid w:val="000E7E97"/>
    <w:rsid w:val="003B5A78"/>
    <w:rsid w:val="00BC1858"/>
    <w:rsid w:val="00C73B5D"/>
    <w:rsid w:val="00CF6B01"/>
    <w:rsid w:val="00E571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更生保護會組織及管理辦法第十二條</dc:title>
  <dc:creator>MOJ</dc:creator>
  <cp:lastModifiedBy>黃聖夫</cp:lastModifiedBy>
  <cp:revision>2</cp:revision>
  <dcterms:created xsi:type="dcterms:W3CDTF">2016-03-24T00:58:00Z</dcterms:created>
  <dcterms:modified xsi:type="dcterms:W3CDTF">2016-03-24T00:58:00Z</dcterms:modified>
</cp:coreProperties>
</file>